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>
        <w:rPr>
          <w:rFonts w:ascii="Trebuchet MS" w:hAnsi="Trebuchet MS"/>
        </w:rPr>
        <w:t xml:space="preserve">1. </w:t>
      </w:r>
      <w:r w:rsidRPr="00E44713">
        <w:rPr>
          <w:rFonts w:ascii="Trebuchet MS" w:hAnsi="Trebuchet MS"/>
        </w:rPr>
        <w:t>What is financial literacy?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A. Knowing how to cook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B. Understanding and managing personal finances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C. Writing legal documents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D. None of the above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>
        <w:rPr>
          <w:rFonts w:ascii="Trebuchet MS" w:hAnsi="Trebuchet MS"/>
        </w:rPr>
        <w:t xml:space="preserve">2. </w:t>
      </w:r>
      <w:r w:rsidRPr="00E44713">
        <w:rPr>
          <w:rFonts w:ascii="Trebuchet MS" w:hAnsi="Trebuchet MS"/>
        </w:rPr>
        <w:t>Which of the following is a financial institution?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A. School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B. Bank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C. Grocery store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D. Library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>
        <w:rPr>
          <w:rFonts w:ascii="Trebuchet MS" w:hAnsi="Trebuchet MS"/>
        </w:rPr>
        <w:t xml:space="preserve">3. </w:t>
      </w:r>
      <w:r w:rsidRPr="00E44713">
        <w:rPr>
          <w:rFonts w:ascii="Trebuchet MS" w:hAnsi="Trebuchet MS"/>
        </w:rPr>
        <w:t>Why should you choose a government-approved financial institution?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A. For decoration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B. For cheaper groceries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C. For safety and security of your money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D. For better entertainment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>
        <w:rPr>
          <w:rFonts w:ascii="Trebuchet MS" w:hAnsi="Trebuchet MS"/>
        </w:rPr>
        <w:t xml:space="preserve">4. </w:t>
      </w:r>
      <w:r w:rsidRPr="00E44713">
        <w:rPr>
          <w:rFonts w:ascii="Trebuchet MS" w:hAnsi="Trebuchet MS"/>
        </w:rPr>
        <w:t>What is the main benefit of comparing banks before opening a savings account?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A. Better interest rates and services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B. More entertainment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C. Free books</w:t>
      </w:r>
    </w:p>
    <w:p w:rsidR="00E44713" w:rsidRPr="00E44713" w:rsidRDefault="00E44713" w:rsidP="00E44713">
      <w:pPr>
        <w:tabs>
          <w:tab w:val="left" w:pos="216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D. None of the above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>
        <w:rPr>
          <w:rFonts w:ascii="Trebuchet MS" w:hAnsi="Trebuchet MS"/>
        </w:rPr>
        <w:t xml:space="preserve">5. </w:t>
      </w:r>
      <w:r w:rsidRPr="00E44713">
        <w:rPr>
          <w:rFonts w:ascii="Trebuchet MS" w:hAnsi="Trebuchet MS"/>
        </w:rPr>
        <w:t>Which of the following is an example of an offline financial transaction?</w:t>
      </w:r>
    </w:p>
    <w:p w:rsidR="00E44713" w:rsidRPr="00E44713" w:rsidRDefault="00E44713" w:rsidP="00E44713">
      <w:pPr>
        <w:tabs>
          <w:tab w:val="left" w:pos="241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A. UPI payment</w:t>
      </w:r>
    </w:p>
    <w:p w:rsidR="00E44713" w:rsidRPr="00E44713" w:rsidRDefault="00E44713" w:rsidP="00E44713">
      <w:pPr>
        <w:tabs>
          <w:tab w:val="left" w:pos="241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B. Using a debit card at a shop</w:t>
      </w:r>
    </w:p>
    <w:p w:rsidR="00E44713" w:rsidRPr="00E44713" w:rsidRDefault="00E44713" w:rsidP="00E44713">
      <w:pPr>
        <w:tabs>
          <w:tab w:val="left" w:pos="241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C. Net banking</w:t>
      </w:r>
    </w:p>
    <w:p w:rsidR="00E44713" w:rsidRPr="00E44713" w:rsidRDefault="00E44713" w:rsidP="00E44713">
      <w:pPr>
        <w:tabs>
          <w:tab w:val="left" w:pos="2410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D. Google Pay</w:t>
      </w:r>
    </w:p>
    <w:p w:rsidR="00E44713" w:rsidRPr="00E44713" w:rsidRDefault="00E44713" w:rsidP="00E44713">
      <w:pPr>
        <w:tabs>
          <w:tab w:val="left" w:pos="2410"/>
        </w:tabs>
        <w:ind w:left="2268"/>
        <w:rPr>
          <w:rFonts w:ascii="Trebuchet MS" w:hAnsi="Trebuchet MS"/>
        </w:rPr>
      </w:pP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>
        <w:rPr>
          <w:rFonts w:ascii="Trebuchet MS" w:hAnsi="Trebuchet MS"/>
        </w:rPr>
        <w:t xml:space="preserve">6. </w:t>
      </w:r>
      <w:r w:rsidRPr="00E44713">
        <w:rPr>
          <w:rFonts w:ascii="Trebuchet MS" w:hAnsi="Trebuchet MS"/>
        </w:rPr>
        <w:t>What should you never share during online transactions?</w:t>
      </w:r>
    </w:p>
    <w:p w:rsidR="00E44713" w:rsidRPr="00E44713" w:rsidRDefault="00E44713" w:rsidP="00E44713">
      <w:pPr>
        <w:tabs>
          <w:tab w:val="left" w:pos="8222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A. Your birthday</w:t>
      </w:r>
    </w:p>
    <w:p w:rsidR="00E44713" w:rsidRPr="00E44713" w:rsidRDefault="00E44713" w:rsidP="00E44713">
      <w:pPr>
        <w:tabs>
          <w:tab w:val="left" w:pos="8222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B. Your OTP or password</w:t>
      </w:r>
    </w:p>
    <w:p w:rsidR="00E44713" w:rsidRPr="00E44713" w:rsidRDefault="00E44713" w:rsidP="00E44713">
      <w:pPr>
        <w:tabs>
          <w:tab w:val="left" w:pos="8222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C. Your name</w:t>
      </w:r>
    </w:p>
    <w:p w:rsidR="00E44713" w:rsidRPr="00E44713" w:rsidRDefault="00E44713" w:rsidP="00E44713">
      <w:pPr>
        <w:tabs>
          <w:tab w:val="left" w:pos="8222"/>
        </w:tabs>
        <w:ind w:left="2410"/>
        <w:rPr>
          <w:rFonts w:ascii="Trebuchet MS" w:hAnsi="Trebuchet MS"/>
        </w:rPr>
      </w:pPr>
      <w:r w:rsidRPr="00E44713">
        <w:rPr>
          <w:rFonts w:ascii="Trebuchet MS" w:hAnsi="Trebuchet MS"/>
        </w:rPr>
        <w:t>D. Your favorite color</w:t>
      </w:r>
    </w:p>
    <w:p w:rsidR="00E44713" w:rsidRPr="00E44713" w:rsidRDefault="00E44713" w:rsidP="00E44713">
      <w:pPr>
        <w:tabs>
          <w:tab w:val="left" w:pos="2160"/>
        </w:tabs>
        <w:ind w:left="2268"/>
        <w:rPr>
          <w:rFonts w:ascii="Trebuchet MS" w:hAnsi="Trebuchet MS"/>
        </w:rPr>
      </w:pP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>
        <w:rPr>
          <w:rFonts w:ascii="Trebuchet MS" w:hAnsi="Trebuchet MS"/>
        </w:rPr>
        <w:t xml:space="preserve">7. </w:t>
      </w:r>
      <w:r w:rsidRPr="00E44713">
        <w:rPr>
          <w:rFonts w:ascii="Trebuchet MS" w:hAnsi="Trebuchet MS"/>
        </w:rPr>
        <w:t>What does 'HRA' in a salary slip stand for?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A. High Rate Account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B. House Rent Allowance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C. Home Rent Agreement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D. Housing Refund Amount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If your total salary is ₹20,000 and deductions are ₹2,000, what is your take-home salary?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A. ₹18,000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B. ₹22,000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C. ₹20,000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D. ₹2,000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Which of the following is considered an investment?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A. Buying clothes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B. Eating at a restaurant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C. Putting money in a Fixed Deposit (FD)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D. Paying phone bills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Legal Literacy MCQs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What is legal literacy?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A. Understanding movies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B. Understanding basic laws and rights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C. Reading only law books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D. None of the above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Which of the following is a legal right?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A. Right to eat pizza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B. Right to own a company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C. Right to education till Class 8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D. Right to sleep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Where can people get free legal help from the government?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A. Police station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 xml:space="preserve">B. </w:t>
      </w:r>
      <w:proofErr w:type="spellStart"/>
      <w:r w:rsidRPr="00E44713">
        <w:rPr>
          <w:rFonts w:ascii="Trebuchet MS" w:hAnsi="Trebuchet MS"/>
        </w:rPr>
        <w:t>Lok</w:t>
      </w:r>
      <w:proofErr w:type="spellEnd"/>
      <w:r w:rsidRPr="00E44713">
        <w:rPr>
          <w:rFonts w:ascii="Trebuchet MS" w:hAnsi="Trebuchet MS"/>
        </w:rPr>
        <w:t xml:space="preserve"> </w:t>
      </w:r>
      <w:proofErr w:type="spellStart"/>
      <w:r w:rsidRPr="00E44713">
        <w:rPr>
          <w:rFonts w:ascii="Trebuchet MS" w:hAnsi="Trebuchet MS"/>
        </w:rPr>
        <w:t>Adalat</w:t>
      </w:r>
      <w:proofErr w:type="spellEnd"/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C. College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D. Shopping mall</w:t>
      </w:r>
    </w:p>
    <w:p w:rsidR="00E44713" w:rsidRPr="00E44713" w:rsidRDefault="00E44713" w:rsidP="00E44713">
      <w:pPr>
        <w:tabs>
          <w:tab w:val="left" w:pos="2160"/>
        </w:tabs>
        <w:rPr>
          <w:rFonts w:ascii="Trebuchet MS" w:hAnsi="Trebuchet MS"/>
        </w:rPr>
      </w:pP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Which organization offers free legal aid in districts?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A. RBI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B. SBI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C. Legal Services Authority (LSA)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D. IRDA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Real-life Application MCQs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Why did Anita compare different banks before opening her account?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A. To watch movies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lastRenderedPageBreak/>
        <w:t>B. To find free Wi-Fi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C. To choose the best financial product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D. To make new friends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What lesson did Ravi learn by safely making a UPI payment?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A. Always ask for free books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B. Online payments are risky and should be avoided</w:t>
      </w:r>
    </w:p>
    <w:p w:rsidR="00E44713" w:rsidRPr="00E44713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C. Online payments are fast, but staying alert is important</w:t>
      </w:r>
    </w:p>
    <w:p w:rsidR="00C05F8A" w:rsidRPr="005449D2" w:rsidRDefault="00E44713" w:rsidP="00E44713">
      <w:pPr>
        <w:tabs>
          <w:tab w:val="left" w:pos="2160"/>
        </w:tabs>
        <w:ind w:left="1843"/>
        <w:rPr>
          <w:rFonts w:ascii="Trebuchet MS" w:hAnsi="Trebuchet MS"/>
        </w:rPr>
      </w:pPr>
      <w:r w:rsidRPr="00E44713">
        <w:rPr>
          <w:rFonts w:ascii="Trebuchet MS" w:hAnsi="Trebuchet MS"/>
        </w:rPr>
        <w:t>D. You should share OTP with delivery agents</w:t>
      </w:r>
    </w:p>
    <w:sectPr w:rsidR="00C05F8A" w:rsidRPr="005449D2" w:rsidSect="00C24E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13EE" w:rsidRDefault="00C713EE">
      <w:r>
        <w:separator/>
      </w:r>
    </w:p>
  </w:endnote>
  <w:endnote w:type="continuationSeparator" w:id="0">
    <w:p w:rsidR="00C713EE" w:rsidRDefault="00C713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561A3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561A39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E44713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E44713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13EE" w:rsidRDefault="00C713EE">
      <w:r>
        <w:separator/>
      </w:r>
    </w:p>
  </w:footnote>
  <w:footnote w:type="continuationSeparator" w:id="0">
    <w:p w:rsidR="00C713EE" w:rsidRDefault="00C713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561A39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561A39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44713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Pr="005449D2" w:rsidRDefault="00561A39" w:rsidP="00724FC1">
    <w:pPr>
      <w:pStyle w:val="Header"/>
    </w:pPr>
    <w:r w:rsidRPr="00561A39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8.2pt;margin-top:21.35pt;width:405.6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4D1C3A" w:rsidRPr="00005C34" w:rsidRDefault="00CE4E82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  <w:bookmarkStart w:id="0" w:name="_Hlk176262230"/>
                <w:r w:rsidRPr="00005C34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</w:t>
                </w:r>
                <w:bookmarkEnd w:id="0"/>
                <w:r w:rsidR="005449D2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nt- Employability Skills</w:t>
                </w:r>
              </w:p>
            </w:txbxContent>
          </v:textbox>
        </v:shape>
      </w:pict>
    </w:r>
    <w:r w:rsidRPr="00561A39">
      <w:rPr>
        <w:noProof/>
        <w:sz w:val="20"/>
      </w:rPr>
      <w:pict>
        <v:shape id="Text Box 34" o:spid="_x0000_s2072" type="#_x0000_t202" style="position:absolute;margin-left:112.65pt;margin-top:51.35pt;width:405.6pt;height:25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<v:textbox>
            <w:txbxContent>
              <w:p w:rsidR="00CA1A5F" w:rsidRPr="003E2AEB" w:rsidRDefault="003E2AEB" w:rsidP="005449D2">
                <w:pPr>
                  <w:jc w:val="center"/>
                  <w:rPr>
                    <w:rFonts w:ascii="Trebuchet MS" w:hAnsi="Trebuchet MS"/>
                    <w:b/>
                    <w:bCs/>
                    <w:color w:val="FFFFFF" w:themeColor="background1"/>
                    <w:sz w:val="32"/>
                    <w:szCs w:val="28"/>
                  </w:rPr>
                </w:pPr>
                <w:r w:rsidRPr="003E2AEB">
                  <w:rPr>
                    <w:rFonts w:ascii="Trebuchet MS" w:hAnsi="Trebuchet MS"/>
                    <w:b/>
                    <w:color w:val="FFFFFF" w:themeColor="background1"/>
                    <w:sz w:val="28"/>
                  </w:rPr>
                  <w:t>Diversity and Inclusion</w:t>
                </w:r>
              </w:p>
            </w:txbxContent>
          </v:textbox>
        </v:shape>
      </w:pict>
    </w:r>
    <w:r w:rsidRPr="00561A39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1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61A39">
      <w:rPr>
        <w:noProof/>
        <w:sz w:val="20"/>
      </w:rPr>
      <w:pict>
        <v:shape id="Text Box 2" o:spid="_x0000_s2070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8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7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561A39">
      <w:rPr>
        <w:noProof/>
        <w:sz w:val="20"/>
      </w:rPr>
      <w:pict>
        <v:shape id="Text Box 4" o:spid="_x0000_s2069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6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561A3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6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3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6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8"/>
  </w:num>
  <w:num w:numId="5">
    <w:abstractNumId w:val="13"/>
  </w:num>
  <w:num w:numId="6">
    <w:abstractNumId w:val="2"/>
  </w:num>
  <w:num w:numId="7">
    <w:abstractNumId w:val="18"/>
  </w:num>
  <w:num w:numId="8">
    <w:abstractNumId w:val="3"/>
  </w:num>
  <w:num w:numId="9">
    <w:abstractNumId w:val="17"/>
  </w:num>
  <w:num w:numId="10">
    <w:abstractNumId w:val="4"/>
  </w:num>
  <w:num w:numId="11">
    <w:abstractNumId w:val="7"/>
  </w:num>
  <w:num w:numId="12">
    <w:abstractNumId w:val="0"/>
  </w:num>
  <w:num w:numId="13">
    <w:abstractNumId w:val="15"/>
  </w:num>
  <w:num w:numId="14">
    <w:abstractNumId w:val="12"/>
  </w:num>
  <w:num w:numId="15">
    <w:abstractNumId w:val="9"/>
  </w:num>
  <w:num w:numId="16">
    <w:abstractNumId w:val="11"/>
  </w:num>
  <w:num w:numId="17">
    <w:abstractNumId w:val="16"/>
  </w:num>
  <w:num w:numId="18">
    <w:abstractNumId w:val="10"/>
  </w:num>
  <w:num w:numId="19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6146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15E8A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5E4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2AEB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37E0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DFD"/>
    <w:rsid w:val="0055287E"/>
    <w:rsid w:val="00557909"/>
    <w:rsid w:val="00561A39"/>
    <w:rsid w:val="00563D6F"/>
    <w:rsid w:val="00567A3D"/>
    <w:rsid w:val="00573182"/>
    <w:rsid w:val="0058294C"/>
    <w:rsid w:val="0058642B"/>
    <w:rsid w:val="00586948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13F66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13EE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CF4B2F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6320"/>
    <w:rsid w:val="00E406DF"/>
    <w:rsid w:val="00E44713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74815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37E0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4F37E0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4F37E0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4F37E0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4F37E0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4F37E0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4F37E0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4F37E0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4F37E0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F37E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F37E0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4F37E0"/>
    <w:pPr>
      <w:jc w:val="both"/>
    </w:pPr>
    <w:rPr>
      <w:szCs w:val="20"/>
    </w:rPr>
  </w:style>
  <w:style w:type="paragraph" w:styleId="BodyTextIndent">
    <w:name w:val="Body Text Indent"/>
    <w:basedOn w:val="Normal"/>
    <w:rsid w:val="004F37E0"/>
    <w:pPr>
      <w:ind w:left="360"/>
      <w:jc w:val="both"/>
    </w:pPr>
  </w:style>
  <w:style w:type="paragraph" w:styleId="BodyTextIndent2">
    <w:name w:val="Body Text Indent 2"/>
    <w:basedOn w:val="Normal"/>
    <w:rsid w:val="004F37E0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4F37E0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4F37E0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4F37E0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4F37E0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4F37E0"/>
    <w:rPr>
      <w:b/>
      <w:bCs/>
    </w:rPr>
  </w:style>
  <w:style w:type="paragraph" w:styleId="FootnoteText">
    <w:name w:val="footnote text"/>
    <w:basedOn w:val="Normal"/>
    <w:semiHidden/>
    <w:rsid w:val="004F37E0"/>
    <w:rPr>
      <w:sz w:val="20"/>
      <w:szCs w:val="20"/>
    </w:rPr>
  </w:style>
  <w:style w:type="character" w:styleId="FootnoteReference">
    <w:name w:val="footnote reference"/>
    <w:semiHidden/>
    <w:rsid w:val="004F37E0"/>
    <w:rPr>
      <w:vertAlign w:val="superscript"/>
    </w:rPr>
  </w:style>
  <w:style w:type="character" w:styleId="PageNumber">
    <w:name w:val="page number"/>
    <w:basedOn w:val="DefaultParagraphFont"/>
    <w:rsid w:val="004F37E0"/>
  </w:style>
  <w:style w:type="character" w:styleId="Hyperlink">
    <w:name w:val="Hyperlink"/>
    <w:rsid w:val="004F37E0"/>
    <w:rPr>
      <w:color w:val="0000FF"/>
      <w:u w:val="single"/>
    </w:rPr>
  </w:style>
  <w:style w:type="paragraph" w:styleId="Title">
    <w:name w:val="Title"/>
    <w:basedOn w:val="Normal"/>
    <w:qFormat/>
    <w:rsid w:val="004F37E0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4F37E0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4F37E0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EBCA9-CD5B-4206-A177-6D038BF9F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2</cp:revision>
  <cp:lastPrinted>2025-05-23T06:32:00Z</cp:lastPrinted>
  <dcterms:created xsi:type="dcterms:W3CDTF">2025-05-23T06:57:00Z</dcterms:created>
  <dcterms:modified xsi:type="dcterms:W3CDTF">2025-05-23T06:57:00Z</dcterms:modified>
</cp:coreProperties>
</file>